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72" w:rsidRDefault="001D7353" w:rsidP="001D7353">
      <w:pPr>
        <w:jc w:val="center"/>
        <w:rPr>
          <w:b/>
          <w:sz w:val="28"/>
          <w:szCs w:val="28"/>
          <w:u w:val="single"/>
        </w:rPr>
      </w:pPr>
      <w:r w:rsidRPr="001D7353">
        <w:rPr>
          <w:b/>
          <w:sz w:val="28"/>
          <w:szCs w:val="28"/>
          <w:u w:val="single"/>
        </w:rPr>
        <w:t>2019 Community Partners</w:t>
      </w:r>
    </w:p>
    <w:p w:rsidR="001D7353" w:rsidRDefault="001D7353" w:rsidP="001D7353">
      <w:pPr>
        <w:rPr>
          <w:sz w:val="28"/>
          <w:szCs w:val="28"/>
        </w:rPr>
      </w:pPr>
    </w:p>
    <w:p w:rsidR="001D7353" w:rsidRDefault="001D7353" w:rsidP="001D7353">
      <w:pPr>
        <w:rPr>
          <w:sz w:val="28"/>
          <w:szCs w:val="28"/>
        </w:rPr>
      </w:pPr>
    </w:p>
    <w:p w:rsidR="001D7353" w:rsidRDefault="001D7353" w:rsidP="001D7353">
      <w:pPr>
        <w:rPr>
          <w:sz w:val="28"/>
          <w:szCs w:val="28"/>
        </w:rPr>
      </w:pPr>
      <w:r>
        <w:rPr>
          <w:sz w:val="28"/>
          <w:szCs w:val="28"/>
        </w:rPr>
        <w:t xml:space="preserve">Thank you to all who submitted nominations for </w:t>
      </w:r>
      <w:r w:rsidR="00624C82">
        <w:rPr>
          <w:sz w:val="28"/>
          <w:szCs w:val="28"/>
        </w:rPr>
        <w:t xml:space="preserve">our 2019 </w:t>
      </w:r>
      <w:r>
        <w:rPr>
          <w:sz w:val="28"/>
          <w:szCs w:val="28"/>
        </w:rPr>
        <w:t>Community Partners</w:t>
      </w:r>
      <w:r w:rsidR="00624C82">
        <w:rPr>
          <w:sz w:val="28"/>
          <w:szCs w:val="28"/>
        </w:rPr>
        <w:t>.</w:t>
      </w:r>
      <w:r>
        <w:rPr>
          <w:sz w:val="28"/>
          <w:szCs w:val="28"/>
        </w:rPr>
        <w:t xml:space="preserve"> The following is the list of </w:t>
      </w:r>
      <w:r w:rsidR="00624C82">
        <w:rPr>
          <w:sz w:val="28"/>
          <w:szCs w:val="28"/>
        </w:rPr>
        <w:t>elected</w:t>
      </w:r>
      <w:r>
        <w:rPr>
          <w:sz w:val="28"/>
          <w:szCs w:val="28"/>
        </w:rPr>
        <w:t xml:space="preserve"> and the month in which they will share our </w:t>
      </w:r>
      <w:r w:rsidR="00624C82">
        <w:rPr>
          <w:sz w:val="28"/>
          <w:szCs w:val="28"/>
        </w:rPr>
        <w:t>collection proceeds</w:t>
      </w:r>
      <w:r>
        <w:rPr>
          <w:sz w:val="28"/>
          <w:szCs w:val="28"/>
        </w:rPr>
        <w:t xml:space="preserve">.  To those who didn’t make the top 12, sometimes it takes a year or two for name recognition, so please submit again next year.  </w:t>
      </w:r>
    </w:p>
    <w:p w:rsidR="001D7353" w:rsidRDefault="001D7353" w:rsidP="001D7353">
      <w:pPr>
        <w:rPr>
          <w:sz w:val="28"/>
          <w:szCs w:val="28"/>
        </w:rPr>
      </w:pPr>
    </w:p>
    <w:p w:rsidR="001D7353" w:rsidRDefault="001D7353" w:rsidP="001D7353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548"/>
        <w:gridCol w:w="8028"/>
      </w:tblGrid>
      <w:tr w:rsidR="001D7353" w:rsidTr="001D7353">
        <w:tc>
          <w:tcPr>
            <w:tcW w:w="154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MONTH</w:t>
            </w:r>
          </w:p>
        </w:tc>
        <w:tc>
          <w:tcPr>
            <w:tcW w:w="802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COMMUNITY PARTNER</w:t>
            </w:r>
          </w:p>
        </w:tc>
      </w:tr>
      <w:tr w:rsidR="001D7353" w:rsidTr="001D7353">
        <w:tc>
          <w:tcPr>
            <w:tcW w:w="154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</w:t>
            </w:r>
          </w:p>
        </w:tc>
        <w:tc>
          <w:tcPr>
            <w:tcW w:w="802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Promise</w:t>
            </w:r>
          </w:p>
        </w:tc>
      </w:tr>
      <w:tr w:rsidR="001D7353" w:rsidTr="001D7353">
        <w:tc>
          <w:tcPr>
            <w:tcW w:w="154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</w:t>
            </w:r>
          </w:p>
        </w:tc>
        <w:tc>
          <w:tcPr>
            <w:tcW w:w="802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Lives Matter</w:t>
            </w:r>
          </w:p>
        </w:tc>
      </w:tr>
      <w:tr w:rsidR="001D7353" w:rsidTr="001D7353">
        <w:tc>
          <w:tcPr>
            <w:tcW w:w="154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</w:t>
            </w:r>
          </w:p>
        </w:tc>
        <w:tc>
          <w:tcPr>
            <w:tcW w:w="8028" w:type="dxa"/>
          </w:tcPr>
          <w:p w:rsidR="001D7353" w:rsidRDefault="001D7353" w:rsidP="00A2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</w:t>
            </w:r>
            <w:r w:rsidR="00A24D20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ren’s Receiving Home</w:t>
            </w:r>
          </w:p>
        </w:tc>
      </w:tr>
      <w:tr w:rsidR="001D7353" w:rsidTr="001D7353">
        <w:tc>
          <w:tcPr>
            <w:tcW w:w="154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</w:t>
            </w:r>
          </w:p>
        </w:tc>
        <w:tc>
          <w:tcPr>
            <w:tcW w:w="802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St. John’s Program for Real Change</w:t>
            </w:r>
          </w:p>
        </w:tc>
      </w:tr>
      <w:tr w:rsidR="001D7353" w:rsidTr="001D7353">
        <w:tc>
          <w:tcPr>
            <w:tcW w:w="154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</w:t>
            </w:r>
          </w:p>
        </w:tc>
        <w:tc>
          <w:tcPr>
            <w:tcW w:w="802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Sacramento Senior Safe House</w:t>
            </w:r>
          </w:p>
        </w:tc>
      </w:tr>
      <w:tr w:rsidR="001D7353" w:rsidTr="001D7353">
        <w:tc>
          <w:tcPr>
            <w:tcW w:w="154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</w:t>
            </w:r>
          </w:p>
        </w:tc>
        <w:tc>
          <w:tcPr>
            <w:tcW w:w="802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Mercy Peddlers</w:t>
            </w:r>
          </w:p>
        </w:tc>
      </w:tr>
      <w:tr w:rsidR="001D7353" w:rsidTr="001D7353">
        <w:tc>
          <w:tcPr>
            <w:tcW w:w="154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July</w:t>
            </w:r>
          </w:p>
        </w:tc>
        <w:tc>
          <w:tcPr>
            <w:tcW w:w="802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International Rescue Committee of Northern California</w:t>
            </w:r>
          </w:p>
        </w:tc>
      </w:tr>
      <w:tr w:rsidR="001D7353" w:rsidTr="001D7353">
        <w:tc>
          <w:tcPr>
            <w:tcW w:w="154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</w:t>
            </w:r>
          </w:p>
        </w:tc>
        <w:tc>
          <w:tcPr>
            <w:tcW w:w="802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Opening Doors</w:t>
            </w:r>
          </w:p>
        </w:tc>
      </w:tr>
      <w:tr w:rsidR="001D7353" w:rsidTr="001D7353">
        <w:tc>
          <w:tcPr>
            <w:tcW w:w="154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</w:t>
            </w:r>
          </w:p>
        </w:tc>
        <w:tc>
          <w:tcPr>
            <w:tcW w:w="802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Mustard Seed School</w:t>
            </w:r>
          </w:p>
        </w:tc>
      </w:tr>
      <w:tr w:rsidR="001D7353" w:rsidTr="001D7353">
        <w:tc>
          <w:tcPr>
            <w:tcW w:w="154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</w:t>
            </w:r>
          </w:p>
        </w:tc>
        <w:tc>
          <w:tcPr>
            <w:tcW w:w="802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 Youth Services</w:t>
            </w:r>
          </w:p>
        </w:tc>
      </w:tr>
      <w:tr w:rsidR="001D7353" w:rsidTr="001D7353">
        <w:tc>
          <w:tcPr>
            <w:tcW w:w="154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</w:t>
            </w:r>
          </w:p>
        </w:tc>
        <w:tc>
          <w:tcPr>
            <w:tcW w:w="802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Loaves and Fishes</w:t>
            </w:r>
          </w:p>
        </w:tc>
      </w:tr>
      <w:tr w:rsidR="001D7353" w:rsidTr="001D7353">
        <w:tc>
          <w:tcPr>
            <w:tcW w:w="154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</w:t>
            </w:r>
          </w:p>
        </w:tc>
        <w:tc>
          <w:tcPr>
            <w:tcW w:w="8028" w:type="dxa"/>
          </w:tcPr>
          <w:p w:rsidR="001D7353" w:rsidRDefault="001D7353" w:rsidP="001D7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Sacramento Food Bank and Family Services</w:t>
            </w:r>
          </w:p>
        </w:tc>
      </w:tr>
    </w:tbl>
    <w:p w:rsidR="001D7353" w:rsidRPr="001D7353" w:rsidRDefault="001D7353" w:rsidP="001D7353">
      <w:pPr>
        <w:rPr>
          <w:sz w:val="28"/>
          <w:szCs w:val="28"/>
        </w:rPr>
      </w:pPr>
    </w:p>
    <w:sectPr w:rsidR="001D7353" w:rsidRPr="001D7353" w:rsidSect="008E2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7353"/>
    <w:rsid w:val="00043407"/>
    <w:rsid w:val="001D7353"/>
    <w:rsid w:val="00624C82"/>
    <w:rsid w:val="008E2972"/>
    <w:rsid w:val="00A24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White</dc:creator>
  <cp:lastModifiedBy>Sally White</cp:lastModifiedBy>
  <cp:revision>2</cp:revision>
  <dcterms:created xsi:type="dcterms:W3CDTF">2018-11-14T19:08:00Z</dcterms:created>
  <dcterms:modified xsi:type="dcterms:W3CDTF">2018-11-14T20:01:00Z</dcterms:modified>
</cp:coreProperties>
</file>